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3F84" w14:textId="5AA33973" w:rsidR="00E472CD" w:rsidRDefault="00E472CD" w:rsidP="00E472CD">
      <w:pPr>
        <w:rPr>
          <w:rFonts w:ascii="Arial" w:eastAsiaTheme="minorHAnsi" w:hAnsi="Arial" w:cs="Arial"/>
          <w:b/>
          <w:sz w:val="28"/>
          <w:szCs w:val="24"/>
        </w:rPr>
      </w:pPr>
      <w:r>
        <w:rPr>
          <w:rFonts w:ascii="Arial" w:eastAsiaTheme="minorHAnsi" w:hAnsi="Arial" w:cs="Arial"/>
          <w:b/>
          <w:sz w:val="28"/>
          <w:szCs w:val="24"/>
        </w:rPr>
        <w:t xml:space="preserve">Test your practical understanding of </w:t>
      </w:r>
      <w:r w:rsidR="009A298B" w:rsidRPr="009A298B">
        <w:rPr>
          <w:rFonts w:ascii="Arial" w:eastAsiaTheme="minorHAnsi" w:hAnsi="Arial" w:cs="Arial"/>
          <w:b/>
          <w:sz w:val="28"/>
          <w:szCs w:val="24"/>
        </w:rPr>
        <w:t>Non-Drug Strategies for Non-Cancer Acute and Chronic Pain</w:t>
      </w:r>
    </w:p>
    <w:p w14:paraId="4E5A4E3E" w14:textId="77777777" w:rsidR="00E472CD" w:rsidRPr="009A298B" w:rsidRDefault="00E472CD" w:rsidP="00E472CD">
      <w:pPr>
        <w:rPr>
          <w:rFonts w:ascii="Arial" w:eastAsiaTheme="minorHAnsi" w:hAnsi="Arial" w:cs="Arial"/>
          <w:b/>
          <w:sz w:val="32"/>
          <w:szCs w:val="28"/>
        </w:rPr>
      </w:pPr>
    </w:p>
    <w:p w14:paraId="76D9B06A" w14:textId="089B62B2" w:rsidR="009A298B" w:rsidRPr="009A298B" w:rsidRDefault="009A298B" w:rsidP="009A298B">
      <w:pPr>
        <w:pStyle w:val="ListParagraph"/>
        <w:numPr>
          <w:ilvl w:val="0"/>
          <w:numId w:val="3"/>
        </w:numPr>
        <w:spacing w:after="160" w:line="259" w:lineRule="auto"/>
        <w:ind w:left="720"/>
        <w:jc w:val="both"/>
        <w:rPr>
          <w:rFonts w:asciiTheme="minorHAnsi" w:hAnsiTheme="minorHAnsi" w:cstheme="minorHAnsi"/>
        </w:rPr>
      </w:pPr>
      <w:r>
        <w:rPr>
          <w:rFonts w:asciiTheme="minorHAnsi" w:hAnsiTheme="minorHAnsi" w:cstheme="minorHAnsi"/>
        </w:rPr>
        <w:t xml:space="preserve">(True or False) </w:t>
      </w:r>
      <w:r w:rsidRPr="009A298B">
        <w:rPr>
          <w:rFonts w:asciiTheme="minorHAnsi" w:hAnsiTheme="minorHAnsi" w:cstheme="minorHAnsi"/>
        </w:rPr>
        <w:t>Depressed mood, greater catastrophic thinking, and fear leading to inappropriate avoidance of activity may negatively influence acute pain progressing to chronic pain.</w:t>
      </w:r>
    </w:p>
    <w:p w14:paraId="740D9858" w14:textId="14263F19" w:rsidR="00E472CD" w:rsidRDefault="009A298B" w:rsidP="00120A61">
      <w:pPr>
        <w:pStyle w:val="ListParagraph"/>
        <w:numPr>
          <w:ilvl w:val="1"/>
          <w:numId w:val="3"/>
        </w:numPr>
        <w:spacing w:after="160" w:line="259" w:lineRule="auto"/>
        <w:jc w:val="both"/>
        <w:rPr>
          <w:rFonts w:asciiTheme="minorHAnsi" w:hAnsiTheme="minorHAnsi" w:cstheme="minorHAnsi"/>
        </w:rPr>
      </w:pPr>
      <w:r>
        <w:rPr>
          <w:rFonts w:asciiTheme="minorHAnsi" w:hAnsiTheme="minorHAnsi" w:cstheme="minorHAnsi"/>
        </w:rPr>
        <w:t>True</w:t>
      </w:r>
    </w:p>
    <w:p w14:paraId="73B6FC68" w14:textId="3C600EA9" w:rsidR="009A298B" w:rsidRDefault="009A298B" w:rsidP="00120A61">
      <w:pPr>
        <w:pStyle w:val="ListParagraph"/>
        <w:numPr>
          <w:ilvl w:val="1"/>
          <w:numId w:val="3"/>
        </w:numPr>
        <w:spacing w:after="160" w:line="259" w:lineRule="auto"/>
        <w:jc w:val="both"/>
        <w:rPr>
          <w:rFonts w:asciiTheme="minorHAnsi" w:hAnsiTheme="minorHAnsi" w:cstheme="minorHAnsi"/>
        </w:rPr>
      </w:pPr>
      <w:r>
        <w:rPr>
          <w:rFonts w:asciiTheme="minorHAnsi" w:hAnsiTheme="minorHAnsi" w:cstheme="minorHAnsi"/>
        </w:rPr>
        <w:t>False</w:t>
      </w:r>
    </w:p>
    <w:tbl>
      <w:tblPr>
        <w:tblStyle w:val="TableGrid"/>
        <w:tblW w:w="0" w:type="auto"/>
        <w:tblInd w:w="718" w:type="dxa"/>
        <w:tblLook w:val="04A0" w:firstRow="1" w:lastRow="0" w:firstColumn="1" w:lastColumn="0" w:noHBand="0" w:noVBand="1"/>
      </w:tblPr>
      <w:tblGrid>
        <w:gridCol w:w="7910"/>
      </w:tblGrid>
      <w:tr w:rsidR="00E472CD" w14:paraId="777CB28F" w14:textId="77777777" w:rsidTr="009E0081">
        <w:tc>
          <w:tcPr>
            <w:tcW w:w="7910" w:type="dxa"/>
          </w:tcPr>
          <w:p w14:paraId="58EC2CBA" w14:textId="574B80F5" w:rsidR="00E472CD" w:rsidRPr="00E472CD" w:rsidRDefault="009A298B" w:rsidP="00E472CD">
            <w:pPr>
              <w:spacing w:after="160" w:line="259" w:lineRule="auto"/>
              <w:jc w:val="both"/>
              <w:rPr>
                <w:rFonts w:asciiTheme="minorHAnsi" w:hAnsiTheme="minorHAnsi" w:cstheme="minorHAnsi"/>
                <w:color w:val="808080" w:themeColor="background1" w:themeShade="80"/>
              </w:rPr>
            </w:pPr>
            <w:r w:rsidRPr="009A298B">
              <w:rPr>
                <w:rFonts w:asciiTheme="minorHAnsi" w:hAnsiTheme="minorHAnsi" w:cstheme="minorHAnsi"/>
                <w:color w:val="808080" w:themeColor="background1" w:themeShade="80"/>
              </w:rPr>
              <w:t>Just simple conversations to educate about acute pain and set realistic expectations for recovery should be offered to all patients to help lessen unresolved fears, promote peace of mind, and help them reach treatment goals with fewer interventions (e.g., decreased utilization of medications). Patients with these psychosocial factors may especially benefit from Cognitive Behavioral Therapy (CBT), aromatherapy, music therapy, or other interventions that promote psychosocial well-being.</w:t>
            </w:r>
            <w:r w:rsidRPr="009A298B">
              <w:rPr>
                <w:rFonts w:asciiTheme="minorHAnsi" w:hAnsiTheme="minorHAnsi" w:cstheme="minorHAnsi"/>
                <w:color w:val="808080" w:themeColor="background1" w:themeShade="80"/>
              </w:rPr>
              <w:t xml:space="preserve"> </w:t>
            </w:r>
            <w:r w:rsidR="00120A61">
              <w:rPr>
                <w:rFonts w:asciiTheme="minorHAnsi" w:hAnsiTheme="minorHAnsi" w:cstheme="minorHAnsi"/>
                <w:color w:val="808080" w:themeColor="background1" w:themeShade="80"/>
              </w:rPr>
              <w:t xml:space="preserve">(correct answer is </w:t>
            </w:r>
            <w:r>
              <w:rPr>
                <w:rFonts w:asciiTheme="minorHAnsi" w:hAnsiTheme="minorHAnsi" w:cstheme="minorHAnsi"/>
                <w:color w:val="808080" w:themeColor="background1" w:themeShade="80"/>
              </w:rPr>
              <w:t>A</w:t>
            </w:r>
            <w:r w:rsidR="00120A61">
              <w:rPr>
                <w:rFonts w:asciiTheme="minorHAnsi" w:hAnsiTheme="minorHAnsi" w:cstheme="minorHAnsi"/>
                <w:color w:val="808080" w:themeColor="background1" w:themeShade="80"/>
              </w:rPr>
              <w:t>).</w:t>
            </w:r>
          </w:p>
        </w:tc>
      </w:tr>
    </w:tbl>
    <w:p w14:paraId="489A603A" w14:textId="77777777" w:rsidR="00E472CD" w:rsidRDefault="00E472CD" w:rsidP="00E472CD">
      <w:pPr>
        <w:pStyle w:val="ListParagraph"/>
        <w:spacing w:after="160" w:line="259" w:lineRule="auto"/>
        <w:ind w:left="1440"/>
        <w:jc w:val="both"/>
        <w:rPr>
          <w:rFonts w:asciiTheme="minorHAnsi" w:hAnsiTheme="minorHAnsi" w:cstheme="minorHAnsi"/>
        </w:rPr>
      </w:pPr>
    </w:p>
    <w:p w14:paraId="70E066F9" w14:textId="61201E3A" w:rsidR="00120A61" w:rsidRPr="00E769CE" w:rsidRDefault="00120A61" w:rsidP="00120A61">
      <w:pPr>
        <w:pStyle w:val="ListParagraph"/>
        <w:numPr>
          <w:ilvl w:val="0"/>
          <w:numId w:val="3"/>
        </w:numPr>
        <w:spacing w:after="200" w:line="276" w:lineRule="auto"/>
        <w:jc w:val="both"/>
        <w:rPr>
          <w:rFonts w:asciiTheme="minorHAnsi" w:hAnsiTheme="minorHAnsi" w:cstheme="minorHAnsi"/>
        </w:rPr>
      </w:pPr>
      <w:r>
        <w:rPr>
          <w:rFonts w:asciiTheme="minorHAnsi" w:hAnsiTheme="minorHAnsi" w:cstheme="minorHAnsi"/>
        </w:rPr>
        <w:t xml:space="preserve">(True or False) </w:t>
      </w:r>
      <w:r w:rsidR="009A298B" w:rsidRPr="009A298B">
        <w:rPr>
          <w:rFonts w:asciiTheme="minorHAnsi" w:hAnsiTheme="minorHAnsi" w:cstheme="minorHAnsi"/>
        </w:rPr>
        <w:t>2.</w:t>
      </w:r>
      <w:r w:rsidR="009A298B" w:rsidRPr="009A298B">
        <w:rPr>
          <w:rFonts w:asciiTheme="minorHAnsi" w:hAnsiTheme="minorHAnsi" w:cstheme="minorHAnsi"/>
        </w:rPr>
        <w:tab/>
        <w:t>Acute and chronic pain treatment plans should always include goals for optimizing daily function.</w:t>
      </w:r>
      <w:r w:rsidRPr="00E769CE">
        <w:rPr>
          <w:rFonts w:asciiTheme="minorHAnsi" w:hAnsiTheme="minorHAnsi" w:cstheme="minorHAnsi"/>
        </w:rPr>
        <w:t xml:space="preserve"> </w:t>
      </w:r>
    </w:p>
    <w:p w14:paraId="6BDB5990" w14:textId="77777777" w:rsidR="00120A61" w:rsidRPr="00E769CE" w:rsidRDefault="00120A61" w:rsidP="00120A61">
      <w:pPr>
        <w:pStyle w:val="ListParagraph"/>
        <w:numPr>
          <w:ilvl w:val="1"/>
          <w:numId w:val="3"/>
        </w:numPr>
        <w:spacing w:after="200" w:line="276" w:lineRule="auto"/>
        <w:jc w:val="both"/>
        <w:rPr>
          <w:rFonts w:asciiTheme="minorHAnsi" w:hAnsiTheme="minorHAnsi" w:cstheme="minorHAnsi"/>
        </w:rPr>
      </w:pPr>
      <w:r w:rsidRPr="00E769CE">
        <w:rPr>
          <w:rFonts w:asciiTheme="minorHAnsi" w:hAnsiTheme="minorHAnsi" w:cstheme="minorHAnsi"/>
        </w:rPr>
        <w:t>True</w:t>
      </w:r>
    </w:p>
    <w:p w14:paraId="5F84D8DB" w14:textId="2A708999" w:rsidR="00E472CD" w:rsidRDefault="00120A61" w:rsidP="00120A61">
      <w:pPr>
        <w:pStyle w:val="ListParagraph"/>
        <w:numPr>
          <w:ilvl w:val="1"/>
          <w:numId w:val="3"/>
        </w:numPr>
        <w:spacing w:after="160" w:line="259" w:lineRule="auto"/>
        <w:jc w:val="both"/>
        <w:rPr>
          <w:rFonts w:asciiTheme="minorHAnsi" w:hAnsiTheme="minorHAnsi" w:cstheme="minorHAnsi"/>
        </w:rPr>
      </w:pPr>
      <w:r w:rsidRPr="00E769CE">
        <w:rPr>
          <w:rFonts w:asciiTheme="minorHAnsi" w:hAnsiTheme="minorHAnsi" w:cstheme="minorHAnsi"/>
        </w:rPr>
        <w:t>False</w:t>
      </w:r>
      <w:r>
        <w:rPr>
          <w:rFonts w:asciiTheme="minorHAnsi" w:hAnsiTheme="minorHAnsi" w:cstheme="minorHAnsi"/>
        </w:rPr>
        <w:t xml:space="preserve"> </w:t>
      </w:r>
    </w:p>
    <w:tbl>
      <w:tblPr>
        <w:tblStyle w:val="TableGrid"/>
        <w:tblW w:w="8817" w:type="dxa"/>
        <w:tblInd w:w="718" w:type="dxa"/>
        <w:tblLook w:val="04A0" w:firstRow="1" w:lastRow="0" w:firstColumn="1" w:lastColumn="0" w:noHBand="0" w:noVBand="1"/>
      </w:tblPr>
      <w:tblGrid>
        <w:gridCol w:w="8817"/>
      </w:tblGrid>
      <w:tr w:rsidR="00E472CD" w14:paraId="55FF5156" w14:textId="77777777" w:rsidTr="009E0081">
        <w:tc>
          <w:tcPr>
            <w:tcW w:w="8817" w:type="dxa"/>
          </w:tcPr>
          <w:p w14:paraId="53CC0C43" w14:textId="2F88E488" w:rsidR="00E472CD" w:rsidRDefault="009A298B" w:rsidP="00E472CD">
            <w:pPr>
              <w:pStyle w:val="ListParagraph"/>
              <w:spacing w:after="160" w:line="259" w:lineRule="auto"/>
              <w:ind w:left="0"/>
              <w:jc w:val="both"/>
              <w:rPr>
                <w:rFonts w:asciiTheme="minorHAnsi" w:hAnsiTheme="minorHAnsi" w:cstheme="minorHAnsi"/>
              </w:rPr>
            </w:pPr>
            <w:r w:rsidRPr="009A298B">
              <w:rPr>
                <w:rFonts w:asciiTheme="minorHAnsi" w:hAnsiTheme="minorHAnsi" w:cstheme="minorHAnsi"/>
                <w:color w:val="808080" w:themeColor="background1" w:themeShade="80"/>
              </w:rPr>
              <w:t>Treatment goals for both acute and chronic pain include minimizing pain, optimizing daily function, and addressing mental health influences that may impact pain (e.g., catastrophizing, depression)</w:t>
            </w:r>
            <w:r w:rsidR="00120A61" w:rsidRPr="00120A61">
              <w:rPr>
                <w:rFonts w:asciiTheme="minorHAnsi" w:hAnsiTheme="minorHAnsi" w:cstheme="minorHAnsi"/>
                <w:color w:val="808080" w:themeColor="background1" w:themeShade="80"/>
              </w:rPr>
              <w:t xml:space="preserve">. </w:t>
            </w:r>
            <w:r w:rsidR="00E472CD" w:rsidRPr="00E472CD">
              <w:rPr>
                <w:rFonts w:asciiTheme="minorHAnsi" w:hAnsiTheme="minorHAnsi" w:cstheme="minorHAnsi"/>
                <w:color w:val="808080" w:themeColor="background1" w:themeShade="80"/>
              </w:rPr>
              <w:t xml:space="preserve">(correct answer is </w:t>
            </w:r>
            <w:r>
              <w:rPr>
                <w:rFonts w:asciiTheme="minorHAnsi" w:hAnsiTheme="minorHAnsi" w:cstheme="minorHAnsi"/>
                <w:color w:val="808080" w:themeColor="background1" w:themeShade="80"/>
              </w:rPr>
              <w:t>A</w:t>
            </w:r>
            <w:r w:rsidR="00E472CD" w:rsidRPr="00E472CD">
              <w:rPr>
                <w:rFonts w:asciiTheme="minorHAnsi" w:hAnsiTheme="minorHAnsi" w:cstheme="minorHAnsi"/>
                <w:color w:val="808080" w:themeColor="background1" w:themeShade="80"/>
              </w:rPr>
              <w:t>).</w:t>
            </w:r>
          </w:p>
        </w:tc>
      </w:tr>
    </w:tbl>
    <w:p w14:paraId="068031B6" w14:textId="77777777" w:rsidR="00E472CD" w:rsidRDefault="00E472CD" w:rsidP="00E472CD">
      <w:pPr>
        <w:pStyle w:val="ListParagraph"/>
        <w:spacing w:after="160" w:line="259" w:lineRule="auto"/>
        <w:ind w:left="1440"/>
        <w:jc w:val="both"/>
        <w:rPr>
          <w:rFonts w:asciiTheme="minorHAnsi" w:hAnsiTheme="minorHAnsi" w:cstheme="minorHAnsi"/>
        </w:rPr>
      </w:pPr>
    </w:p>
    <w:p w14:paraId="59C14438" w14:textId="77777777" w:rsidR="009A298B" w:rsidRPr="009A298B" w:rsidRDefault="009A298B" w:rsidP="009A298B">
      <w:pPr>
        <w:pStyle w:val="ListParagraph"/>
        <w:numPr>
          <w:ilvl w:val="0"/>
          <w:numId w:val="3"/>
        </w:numPr>
        <w:spacing w:after="160" w:line="259" w:lineRule="auto"/>
        <w:jc w:val="both"/>
        <w:rPr>
          <w:rFonts w:asciiTheme="minorHAnsi" w:hAnsiTheme="minorHAnsi" w:cstheme="minorHAnsi"/>
        </w:rPr>
      </w:pPr>
      <w:r w:rsidRPr="009A298B">
        <w:rPr>
          <w:rFonts w:asciiTheme="minorHAnsi" w:hAnsiTheme="minorHAnsi" w:cstheme="minorHAnsi"/>
        </w:rPr>
        <w:t>When non-drug approaches are not enough, which of the following about the management of acute low back pain is TRUE:</w:t>
      </w:r>
    </w:p>
    <w:p w14:paraId="6662FDF2" w14:textId="77777777" w:rsidR="009A298B" w:rsidRPr="009A298B" w:rsidRDefault="009A298B" w:rsidP="009A298B">
      <w:pPr>
        <w:pStyle w:val="ListParagraph"/>
        <w:numPr>
          <w:ilvl w:val="1"/>
          <w:numId w:val="6"/>
        </w:numPr>
        <w:spacing w:after="160" w:line="259" w:lineRule="auto"/>
        <w:ind w:left="1440"/>
        <w:jc w:val="both"/>
        <w:rPr>
          <w:rFonts w:asciiTheme="minorHAnsi" w:hAnsiTheme="minorHAnsi" w:cstheme="minorHAnsi"/>
        </w:rPr>
      </w:pPr>
      <w:r w:rsidRPr="009A298B">
        <w:rPr>
          <w:rFonts w:asciiTheme="minorHAnsi" w:hAnsiTheme="minorHAnsi" w:cstheme="minorHAnsi"/>
        </w:rPr>
        <w:t>Evidence is mixed on the effectiveness of acetaminophen.</w:t>
      </w:r>
    </w:p>
    <w:p w14:paraId="7EB51270" w14:textId="77777777" w:rsidR="009A298B" w:rsidRPr="009A298B" w:rsidRDefault="009A298B" w:rsidP="009A298B">
      <w:pPr>
        <w:pStyle w:val="ListParagraph"/>
        <w:numPr>
          <w:ilvl w:val="1"/>
          <w:numId w:val="6"/>
        </w:numPr>
        <w:spacing w:after="160" w:line="259" w:lineRule="auto"/>
        <w:ind w:left="1440"/>
        <w:jc w:val="both"/>
        <w:rPr>
          <w:rFonts w:asciiTheme="minorHAnsi" w:hAnsiTheme="minorHAnsi" w:cstheme="minorHAnsi"/>
        </w:rPr>
      </w:pPr>
      <w:r w:rsidRPr="009A298B">
        <w:rPr>
          <w:rFonts w:asciiTheme="minorHAnsi" w:hAnsiTheme="minorHAnsi" w:cstheme="minorHAnsi"/>
        </w:rPr>
        <w:t>Opioids have not been shown to offer benefit beyond NSAIDs.</w:t>
      </w:r>
    </w:p>
    <w:p w14:paraId="0391579D" w14:textId="77777777" w:rsidR="009A298B" w:rsidRPr="009A298B" w:rsidRDefault="009A298B" w:rsidP="009A298B">
      <w:pPr>
        <w:pStyle w:val="ListParagraph"/>
        <w:numPr>
          <w:ilvl w:val="1"/>
          <w:numId w:val="6"/>
        </w:numPr>
        <w:spacing w:after="160" w:line="259" w:lineRule="auto"/>
        <w:ind w:left="1440"/>
        <w:jc w:val="both"/>
        <w:rPr>
          <w:rFonts w:asciiTheme="minorHAnsi" w:hAnsiTheme="minorHAnsi" w:cstheme="minorHAnsi"/>
        </w:rPr>
      </w:pPr>
      <w:r w:rsidRPr="009A298B">
        <w:rPr>
          <w:rFonts w:asciiTheme="minorHAnsi" w:hAnsiTheme="minorHAnsi" w:cstheme="minorHAnsi"/>
        </w:rPr>
        <w:t>All NSAIDs can increase the risk of gastrointestinal (GI) and cardiovascular (CV) events.</w:t>
      </w:r>
    </w:p>
    <w:p w14:paraId="7E77D548" w14:textId="77777777" w:rsidR="009A298B" w:rsidRPr="009A298B" w:rsidRDefault="009A298B" w:rsidP="009A298B">
      <w:pPr>
        <w:pStyle w:val="ListParagraph"/>
        <w:numPr>
          <w:ilvl w:val="1"/>
          <w:numId w:val="6"/>
        </w:numPr>
        <w:spacing w:after="160" w:line="259" w:lineRule="auto"/>
        <w:ind w:left="1440"/>
        <w:jc w:val="both"/>
        <w:rPr>
          <w:rFonts w:asciiTheme="minorHAnsi" w:hAnsiTheme="minorHAnsi" w:cstheme="minorHAnsi"/>
        </w:rPr>
      </w:pPr>
      <w:r w:rsidRPr="009A298B">
        <w:rPr>
          <w:rFonts w:asciiTheme="minorHAnsi" w:hAnsiTheme="minorHAnsi" w:cstheme="minorHAnsi"/>
        </w:rPr>
        <w:t>Evidence is mixed on the effectiveness of skeletal muscle relaxants.</w:t>
      </w:r>
    </w:p>
    <w:p w14:paraId="6B987A72" w14:textId="75D4C433" w:rsidR="00E472CD" w:rsidRPr="009A298B" w:rsidRDefault="009A298B" w:rsidP="009A298B">
      <w:pPr>
        <w:pStyle w:val="ListParagraph"/>
        <w:numPr>
          <w:ilvl w:val="1"/>
          <w:numId w:val="6"/>
        </w:numPr>
        <w:spacing w:after="160" w:line="259" w:lineRule="auto"/>
        <w:ind w:left="1440"/>
        <w:jc w:val="both"/>
        <w:rPr>
          <w:rFonts w:asciiTheme="minorHAnsi" w:hAnsiTheme="minorHAnsi" w:cstheme="minorHAnsi"/>
        </w:rPr>
      </w:pPr>
      <w:proofErr w:type="gramStart"/>
      <w:r w:rsidRPr="009A298B">
        <w:rPr>
          <w:rFonts w:asciiTheme="minorHAnsi" w:hAnsiTheme="minorHAnsi" w:cstheme="minorHAnsi"/>
        </w:rPr>
        <w:t>All of</w:t>
      </w:r>
      <w:proofErr w:type="gramEnd"/>
      <w:r w:rsidRPr="009A298B">
        <w:rPr>
          <w:rFonts w:asciiTheme="minorHAnsi" w:hAnsiTheme="minorHAnsi" w:cstheme="minorHAnsi"/>
        </w:rPr>
        <w:t xml:space="preserve"> the above</w:t>
      </w:r>
    </w:p>
    <w:tbl>
      <w:tblPr>
        <w:tblStyle w:val="TableGrid"/>
        <w:tblW w:w="8817" w:type="dxa"/>
        <w:tblInd w:w="718" w:type="dxa"/>
        <w:tblLook w:val="04A0" w:firstRow="1" w:lastRow="0" w:firstColumn="1" w:lastColumn="0" w:noHBand="0" w:noVBand="1"/>
      </w:tblPr>
      <w:tblGrid>
        <w:gridCol w:w="8817"/>
      </w:tblGrid>
      <w:tr w:rsidR="00E472CD" w14:paraId="4DA7C77A" w14:textId="77777777" w:rsidTr="009E0081">
        <w:tc>
          <w:tcPr>
            <w:tcW w:w="8817" w:type="dxa"/>
          </w:tcPr>
          <w:p w14:paraId="2E855F5A" w14:textId="4304C9DD" w:rsidR="00E472CD" w:rsidRPr="00E472CD" w:rsidRDefault="009A298B" w:rsidP="00E472CD">
            <w:pPr>
              <w:pStyle w:val="ListParagraph"/>
              <w:spacing w:after="160" w:line="259" w:lineRule="auto"/>
              <w:ind w:left="0"/>
              <w:jc w:val="both"/>
              <w:rPr>
                <w:rFonts w:asciiTheme="minorHAnsi" w:hAnsiTheme="minorHAnsi" w:cstheme="minorHAnsi"/>
              </w:rPr>
            </w:pPr>
            <w:r w:rsidRPr="009A298B">
              <w:rPr>
                <w:rFonts w:asciiTheme="minorHAnsi" w:hAnsiTheme="minorHAnsi" w:cstheme="minorHAnsi"/>
                <w:color w:val="808080" w:themeColor="background1" w:themeShade="80"/>
              </w:rPr>
              <w:t xml:space="preserve">Guidelines collectively recommend education for self-management and avoidance of bed rest as part of first-line non-drug therapy to treat acute low back pain. If non-opioid medication is needed in addition to non-drug approaches, NSAIDs may be more effective than acetaminophen, but acetaminophen has a safer adverse effect profile. Individual NSAID selection should also be based on patient risk factors and all NSAIDS should be avoided in certain patients (e.g., recent MI, heart failure, recent GI bleed, combination of </w:t>
            </w:r>
            <w:r w:rsidRPr="009A298B">
              <w:rPr>
                <w:rFonts w:asciiTheme="minorHAnsi" w:hAnsiTheme="minorHAnsi" w:cstheme="minorHAnsi"/>
                <w:color w:val="808080" w:themeColor="background1" w:themeShade="80"/>
              </w:rPr>
              <w:lastRenderedPageBreak/>
              <w:t>high GI and CV risk factors). Addition of a skeletal muscle relaxant is a consideration if pain is associated with muscle spasm</w:t>
            </w:r>
            <w:r w:rsidR="00120A61" w:rsidRPr="00120A61">
              <w:rPr>
                <w:rFonts w:asciiTheme="minorHAnsi" w:hAnsiTheme="minorHAnsi" w:cstheme="minorHAnsi"/>
                <w:color w:val="808080" w:themeColor="background1" w:themeShade="80"/>
              </w:rPr>
              <w:t xml:space="preserve">. </w:t>
            </w:r>
            <w:r w:rsidR="00E472CD" w:rsidRPr="00E472CD">
              <w:rPr>
                <w:rFonts w:asciiTheme="minorHAnsi" w:hAnsiTheme="minorHAnsi" w:cstheme="minorHAnsi"/>
                <w:color w:val="808080" w:themeColor="background1" w:themeShade="80"/>
              </w:rPr>
              <w:t xml:space="preserve">(correct answer is </w:t>
            </w:r>
            <w:r>
              <w:rPr>
                <w:rFonts w:asciiTheme="minorHAnsi" w:hAnsiTheme="minorHAnsi" w:cstheme="minorHAnsi"/>
                <w:color w:val="808080" w:themeColor="background1" w:themeShade="80"/>
              </w:rPr>
              <w:t>E)</w:t>
            </w:r>
            <w:r w:rsidR="00E472CD" w:rsidRPr="00E472CD">
              <w:rPr>
                <w:rFonts w:asciiTheme="minorHAnsi" w:hAnsiTheme="minorHAnsi" w:cstheme="minorHAnsi"/>
                <w:color w:val="808080" w:themeColor="background1" w:themeShade="80"/>
              </w:rPr>
              <w:t xml:space="preserve">. </w:t>
            </w:r>
          </w:p>
        </w:tc>
      </w:tr>
    </w:tbl>
    <w:p w14:paraId="756863D9" w14:textId="77777777" w:rsidR="00E472CD" w:rsidRPr="00930E29" w:rsidRDefault="00E472CD" w:rsidP="00E472CD">
      <w:pPr>
        <w:pStyle w:val="ListParagraph"/>
        <w:spacing w:after="160" w:line="259" w:lineRule="auto"/>
        <w:ind w:left="1440"/>
        <w:jc w:val="both"/>
        <w:rPr>
          <w:rFonts w:asciiTheme="minorHAnsi" w:hAnsiTheme="minorHAnsi" w:cstheme="minorHAnsi"/>
        </w:rPr>
      </w:pPr>
    </w:p>
    <w:p w14:paraId="539E6704" w14:textId="77777777" w:rsidR="00E472CD" w:rsidRDefault="00E472CD" w:rsidP="00E472CD">
      <w:pPr>
        <w:pStyle w:val="ListParagraph"/>
        <w:spacing w:after="160" w:line="259" w:lineRule="auto"/>
        <w:ind w:left="1440"/>
        <w:jc w:val="both"/>
        <w:rPr>
          <w:rFonts w:asciiTheme="minorHAnsi" w:hAnsiTheme="minorHAnsi" w:cstheme="minorHAnsi"/>
        </w:rPr>
      </w:pPr>
    </w:p>
    <w:p w14:paraId="2CFB5D4A" w14:textId="77777777" w:rsidR="009A298B" w:rsidRDefault="009A298B" w:rsidP="009A298B">
      <w:pPr>
        <w:pStyle w:val="ListParagraph"/>
        <w:numPr>
          <w:ilvl w:val="0"/>
          <w:numId w:val="3"/>
        </w:numPr>
        <w:spacing w:after="160" w:line="259" w:lineRule="auto"/>
        <w:jc w:val="both"/>
        <w:rPr>
          <w:rFonts w:asciiTheme="minorHAnsi" w:hAnsiTheme="minorHAnsi" w:cstheme="minorHAnsi"/>
          <w:sz w:val="22"/>
          <w:szCs w:val="22"/>
        </w:rPr>
      </w:pPr>
      <w:r w:rsidRPr="009A298B">
        <w:rPr>
          <w:rFonts w:asciiTheme="minorHAnsi" w:hAnsiTheme="minorHAnsi" w:cstheme="minorHAnsi"/>
        </w:rPr>
        <w:t>For many acute pain conditions, other medications are just as effective as opioids</w:t>
      </w:r>
      <w:r w:rsidRPr="004525C2">
        <w:rPr>
          <w:rFonts w:asciiTheme="minorHAnsi" w:hAnsiTheme="minorHAnsi" w:cstheme="minorHAnsi"/>
          <w:sz w:val="22"/>
          <w:szCs w:val="22"/>
        </w:rPr>
        <w:t>.</w:t>
      </w:r>
    </w:p>
    <w:p w14:paraId="73292563" w14:textId="77777777" w:rsidR="009A298B" w:rsidRPr="009A298B" w:rsidRDefault="00E472CD" w:rsidP="009A298B">
      <w:pPr>
        <w:pStyle w:val="ListParagraph"/>
        <w:numPr>
          <w:ilvl w:val="1"/>
          <w:numId w:val="3"/>
        </w:numPr>
        <w:spacing w:after="160" w:line="259" w:lineRule="auto"/>
        <w:jc w:val="both"/>
        <w:rPr>
          <w:rFonts w:asciiTheme="minorHAnsi" w:hAnsiTheme="minorHAnsi" w:cstheme="minorHAnsi"/>
          <w:sz w:val="22"/>
          <w:szCs w:val="22"/>
        </w:rPr>
      </w:pPr>
      <w:r w:rsidRPr="009A298B">
        <w:rPr>
          <w:rFonts w:asciiTheme="minorHAnsi" w:hAnsiTheme="minorHAnsi" w:cstheme="minorHAnsi"/>
        </w:rPr>
        <w:t xml:space="preserve">True </w:t>
      </w:r>
    </w:p>
    <w:p w14:paraId="5C569A1A" w14:textId="36B90608" w:rsidR="00E472CD" w:rsidRPr="009A298B" w:rsidRDefault="00E472CD" w:rsidP="009A298B">
      <w:pPr>
        <w:pStyle w:val="ListParagraph"/>
        <w:numPr>
          <w:ilvl w:val="1"/>
          <w:numId w:val="3"/>
        </w:numPr>
        <w:spacing w:after="160" w:line="259" w:lineRule="auto"/>
        <w:jc w:val="both"/>
        <w:rPr>
          <w:rFonts w:asciiTheme="minorHAnsi" w:hAnsiTheme="minorHAnsi" w:cstheme="minorHAnsi"/>
          <w:sz w:val="22"/>
          <w:szCs w:val="22"/>
        </w:rPr>
      </w:pPr>
      <w:r w:rsidRPr="009A298B">
        <w:rPr>
          <w:rFonts w:asciiTheme="minorHAnsi" w:hAnsiTheme="minorHAnsi" w:cstheme="minorHAnsi"/>
        </w:rPr>
        <w:t>False</w:t>
      </w:r>
    </w:p>
    <w:tbl>
      <w:tblPr>
        <w:tblStyle w:val="TableGrid"/>
        <w:tblW w:w="8907" w:type="dxa"/>
        <w:tblInd w:w="718" w:type="dxa"/>
        <w:tblLook w:val="04A0" w:firstRow="1" w:lastRow="0" w:firstColumn="1" w:lastColumn="0" w:noHBand="0" w:noVBand="1"/>
      </w:tblPr>
      <w:tblGrid>
        <w:gridCol w:w="8907"/>
      </w:tblGrid>
      <w:tr w:rsidR="00E472CD" w14:paraId="36F9E8FE" w14:textId="77777777" w:rsidTr="009E0081">
        <w:tc>
          <w:tcPr>
            <w:tcW w:w="8907" w:type="dxa"/>
          </w:tcPr>
          <w:p w14:paraId="35F5EFB6" w14:textId="6694D0CA" w:rsidR="00E472CD" w:rsidRPr="00C61A1D" w:rsidRDefault="009A298B" w:rsidP="00E472CD">
            <w:pPr>
              <w:pStyle w:val="ListParagraph"/>
              <w:spacing w:after="160" w:line="259" w:lineRule="auto"/>
              <w:ind w:left="0"/>
              <w:jc w:val="both"/>
              <w:rPr>
                <w:rFonts w:asciiTheme="minorHAnsi" w:hAnsiTheme="minorHAnsi" w:cstheme="minorHAnsi"/>
              </w:rPr>
            </w:pPr>
            <w:bookmarkStart w:id="0" w:name="_Hlk160028925"/>
            <w:r w:rsidRPr="009A298B">
              <w:rPr>
                <w:rFonts w:asciiTheme="minorHAnsi" w:hAnsiTheme="minorHAnsi" w:cstheme="minorHAnsi"/>
                <w:color w:val="808080" w:themeColor="background1" w:themeShade="80"/>
              </w:rPr>
              <w:t>Recent evidence is showing non-opioids and combinations of non-opioids to be just as effective as opioids in resolving acute pain with fewer side effects. For example, a single-dose study conducted in an emergency department in 2017 found no meaningful difference in musculoskeletal pain reduction between the combination of ibuprofen 400 mg and acetaminophen 1000 mg compared against three different opioid combinations (oxycodone 5 mg + acetaminophen 325 mg, hydrocodone 5 mg + acetaminophen 325 mg, and codeine 30 mg + acetaminophen 300 mg). Encourage patients to continue optimized non-drug options along with around-the-clock scheduled dosing of oral or topical non-opioids to stay ahead of the pain.</w:t>
            </w:r>
            <w:r w:rsidRPr="009A298B">
              <w:rPr>
                <w:rFonts w:asciiTheme="minorHAnsi" w:hAnsiTheme="minorHAnsi" w:cstheme="minorHAnsi"/>
                <w:color w:val="808080" w:themeColor="background1" w:themeShade="80"/>
              </w:rPr>
              <w:t xml:space="preserve"> </w:t>
            </w:r>
            <w:r w:rsidR="00E472CD" w:rsidRPr="00C61A1D">
              <w:rPr>
                <w:rFonts w:asciiTheme="minorHAnsi" w:hAnsiTheme="minorHAnsi" w:cstheme="minorHAnsi"/>
                <w:color w:val="808080" w:themeColor="background1" w:themeShade="80"/>
              </w:rPr>
              <w:t>(correct answer is A).</w:t>
            </w:r>
          </w:p>
        </w:tc>
      </w:tr>
      <w:bookmarkEnd w:id="0"/>
    </w:tbl>
    <w:p w14:paraId="0162CDB0" w14:textId="77777777" w:rsidR="00E472CD" w:rsidRDefault="00E472CD" w:rsidP="00E472CD">
      <w:pPr>
        <w:pStyle w:val="ListParagraph"/>
        <w:spacing w:after="160" w:line="259" w:lineRule="auto"/>
        <w:ind w:left="1440"/>
        <w:jc w:val="both"/>
        <w:rPr>
          <w:rFonts w:asciiTheme="minorHAnsi" w:hAnsiTheme="minorHAnsi" w:cstheme="minorHAnsi"/>
        </w:rPr>
      </w:pPr>
    </w:p>
    <w:p w14:paraId="60388164" w14:textId="77777777" w:rsidR="009A298B" w:rsidRPr="009A298B" w:rsidRDefault="009A298B" w:rsidP="009A298B">
      <w:pPr>
        <w:pStyle w:val="ListParagraph"/>
        <w:numPr>
          <w:ilvl w:val="0"/>
          <w:numId w:val="8"/>
        </w:numPr>
        <w:spacing w:after="160" w:line="259" w:lineRule="auto"/>
        <w:jc w:val="both"/>
        <w:rPr>
          <w:rFonts w:asciiTheme="minorHAnsi" w:hAnsiTheme="minorHAnsi" w:cstheme="minorHAnsi"/>
        </w:rPr>
      </w:pPr>
      <w:r w:rsidRPr="009A298B">
        <w:rPr>
          <w:rFonts w:asciiTheme="minorHAnsi" w:hAnsiTheme="minorHAnsi" w:cstheme="minorHAnsi"/>
        </w:rPr>
        <w:t xml:space="preserve">Tramadol is the first line option if it is necessary to select an opioid because it will decrease the risk of long-term opioid </w:t>
      </w:r>
      <w:proofErr w:type="gramStart"/>
      <w:r w:rsidRPr="009A298B">
        <w:rPr>
          <w:rFonts w:asciiTheme="minorHAnsi" w:hAnsiTheme="minorHAnsi" w:cstheme="minorHAnsi"/>
        </w:rPr>
        <w:t>use</w:t>
      </w:r>
      <w:proofErr w:type="gramEnd"/>
    </w:p>
    <w:p w14:paraId="159B5E3A" w14:textId="77777777" w:rsidR="009A298B" w:rsidRPr="009A298B" w:rsidRDefault="009A298B" w:rsidP="009A298B">
      <w:pPr>
        <w:pStyle w:val="ListParagraph"/>
        <w:numPr>
          <w:ilvl w:val="1"/>
          <w:numId w:val="7"/>
        </w:numPr>
        <w:spacing w:after="160" w:line="259" w:lineRule="auto"/>
        <w:ind w:left="1440"/>
        <w:jc w:val="both"/>
        <w:rPr>
          <w:rFonts w:asciiTheme="minorHAnsi" w:hAnsiTheme="minorHAnsi" w:cstheme="minorHAnsi"/>
        </w:rPr>
      </w:pPr>
      <w:r w:rsidRPr="009A298B">
        <w:rPr>
          <w:rFonts w:asciiTheme="minorHAnsi" w:hAnsiTheme="minorHAnsi" w:cstheme="minorHAnsi"/>
        </w:rPr>
        <w:t>True</w:t>
      </w:r>
    </w:p>
    <w:p w14:paraId="0D139508" w14:textId="5D90C326" w:rsidR="00E472CD" w:rsidRDefault="009A298B" w:rsidP="009A298B">
      <w:pPr>
        <w:pStyle w:val="ListParagraph"/>
        <w:numPr>
          <w:ilvl w:val="1"/>
          <w:numId w:val="7"/>
        </w:numPr>
        <w:spacing w:after="160" w:line="259" w:lineRule="auto"/>
        <w:ind w:left="1440"/>
        <w:jc w:val="both"/>
        <w:rPr>
          <w:rFonts w:asciiTheme="minorHAnsi" w:hAnsiTheme="minorHAnsi" w:cstheme="minorHAnsi"/>
        </w:rPr>
      </w:pPr>
      <w:r w:rsidRPr="009A298B">
        <w:rPr>
          <w:rFonts w:asciiTheme="minorHAnsi" w:hAnsiTheme="minorHAnsi" w:cstheme="minorHAnsi"/>
        </w:rPr>
        <w:t>False</w:t>
      </w:r>
    </w:p>
    <w:tbl>
      <w:tblPr>
        <w:tblStyle w:val="TableGrid"/>
        <w:tblW w:w="8907" w:type="dxa"/>
        <w:tblInd w:w="718" w:type="dxa"/>
        <w:tblLook w:val="04A0" w:firstRow="1" w:lastRow="0" w:firstColumn="1" w:lastColumn="0" w:noHBand="0" w:noVBand="1"/>
      </w:tblPr>
      <w:tblGrid>
        <w:gridCol w:w="8907"/>
      </w:tblGrid>
      <w:tr w:rsidR="009A298B" w14:paraId="74734816" w14:textId="77777777" w:rsidTr="002554BA">
        <w:tc>
          <w:tcPr>
            <w:tcW w:w="8907" w:type="dxa"/>
          </w:tcPr>
          <w:p w14:paraId="7E1E88CE" w14:textId="4E883B7C" w:rsidR="009A298B" w:rsidRPr="00C61A1D" w:rsidRDefault="009A298B" w:rsidP="002554BA">
            <w:pPr>
              <w:pStyle w:val="ListParagraph"/>
              <w:spacing w:after="160" w:line="259" w:lineRule="auto"/>
              <w:ind w:left="0"/>
              <w:jc w:val="both"/>
              <w:rPr>
                <w:rFonts w:asciiTheme="minorHAnsi" w:hAnsiTheme="minorHAnsi" w:cstheme="minorHAnsi"/>
              </w:rPr>
            </w:pPr>
            <w:r w:rsidRPr="009A298B">
              <w:rPr>
                <w:rFonts w:asciiTheme="minorHAnsi" w:hAnsiTheme="minorHAnsi" w:cstheme="minorHAnsi"/>
                <w:color w:val="808080" w:themeColor="background1" w:themeShade="80"/>
              </w:rPr>
              <w:t xml:space="preserve">Tramadol has been referred to as a </w:t>
            </w:r>
            <w:proofErr w:type="gramStart"/>
            <w:r w:rsidRPr="009A298B">
              <w:rPr>
                <w:rFonts w:asciiTheme="minorHAnsi" w:hAnsiTheme="minorHAnsi" w:cstheme="minorHAnsi"/>
                <w:color w:val="808080" w:themeColor="background1" w:themeShade="80"/>
              </w:rPr>
              <w:t>second-line</w:t>
            </w:r>
            <w:proofErr w:type="gramEnd"/>
            <w:r w:rsidRPr="009A298B">
              <w:rPr>
                <w:rFonts w:asciiTheme="minorHAnsi" w:hAnsiTheme="minorHAnsi" w:cstheme="minorHAnsi"/>
                <w:color w:val="808080" w:themeColor="background1" w:themeShade="80"/>
              </w:rPr>
              <w:t xml:space="preserve"> and even a last-line option if opioids cannot be avoided in multi-modal acute pain management. It appears to be less effective than other opioids and should not be viewed as “safer”. Tramadol carries the same warnings of abuse, misuse, and dependence as other opioids, can lower the seizure threshold, and has multiple drug interactions. Educate patients about the risks of opioid therapy prior to prescribing any opioid and prescribe only a short-acting/immediate release formulation at the lowest effective dose for the shortest duration (three days or less is often enough and more than seven days is rarely necessary).</w:t>
            </w:r>
            <w:r w:rsidRPr="009A298B">
              <w:rPr>
                <w:rFonts w:asciiTheme="minorHAnsi" w:hAnsiTheme="minorHAnsi" w:cstheme="minorHAnsi"/>
                <w:color w:val="808080" w:themeColor="background1" w:themeShade="80"/>
              </w:rPr>
              <w:t xml:space="preserve"> </w:t>
            </w:r>
            <w:r w:rsidRPr="00C61A1D">
              <w:rPr>
                <w:rFonts w:asciiTheme="minorHAnsi" w:hAnsiTheme="minorHAnsi" w:cstheme="minorHAnsi"/>
                <w:color w:val="808080" w:themeColor="background1" w:themeShade="80"/>
              </w:rPr>
              <w:t xml:space="preserve">(correct answer is </w:t>
            </w:r>
            <w:r>
              <w:rPr>
                <w:rFonts w:asciiTheme="minorHAnsi" w:hAnsiTheme="minorHAnsi" w:cstheme="minorHAnsi"/>
                <w:color w:val="808080" w:themeColor="background1" w:themeShade="80"/>
              </w:rPr>
              <w:t>B</w:t>
            </w:r>
            <w:r w:rsidRPr="00C61A1D">
              <w:rPr>
                <w:rFonts w:asciiTheme="minorHAnsi" w:hAnsiTheme="minorHAnsi" w:cstheme="minorHAnsi"/>
                <w:color w:val="808080" w:themeColor="background1" w:themeShade="80"/>
              </w:rPr>
              <w:t>).</w:t>
            </w:r>
          </w:p>
        </w:tc>
      </w:tr>
    </w:tbl>
    <w:p w14:paraId="35432B01" w14:textId="77777777" w:rsidR="009A298B" w:rsidRPr="009A298B" w:rsidRDefault="009A298B" w:rsidP="009A298B">
      <w:pPr>
        <w:spacing w:after="160" w:line="259" w:lineRule="auto"/>
        <w:jc w:val="both"/>
        <w:rPr>
          <w:rFonts w:asciiTheme="minorHAnsi" w:hAnsiTheme="minorHAnsi" w:cstheme="minorHAnsi"/>
        </w:rPr>
      </w:pPr>
    </w:p>
    <w:sectPr w:rsidR="009A298B" w:rsidRPr="009A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889"/>
    <w:multiLevelType w:val="hybridMultilevel"/>
    <w:tmpl w:val="D81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DD1"/>
    <w:multiLevelType w:val="hybridMultilevel"/>
    <w:tmpl w:val="17F8C8E0"/>
    <w:lvl w:ilvl="0" w:tplc="FFFFFFFF">
      <w:start w:val="1"/>
      <w:numFmt w:val="decimal"/>
      <w:lvlText w:val="%1."/>
      <w:lvlJc w:val="left"/>
      <w:pPr>
        <w:ind w:left="360" w:hanging="360"/>
      </w:pPr>
    </w:lvl>
    <w:lvl w:ilvl="1" w:tplc="FFFFFFFF">
      <w:start w:val="1"/>
      <w:numFmt w:val="upperLetter"/>
      <w:lvlText w:val="%2."/>
      <w:lvlJc w:val="left"/>
      <w:pPr>
        <w:ind w:left="1080" w:hanging="360"/>
      </w:pPr>
      <w:rPr>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D11B53"/>
    <w:multiLevelType w:val="hybridMultilevel"/>
    <w:tmpl w:val="362E1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761B5"/>
    <w:multiLevelType w:val="hybridMultilevel"/>
    <w:tmpl w:val="17F8C8E0"/>
    <w:lvl w:ilvl="0" w:tplc="0409000F">
      <w:start w:val="1"/>
      <w:numFmt w:val="decimal"/>
      <w:lvlText w:val="%1."/>
      <w:lvlJc w:val="left"/>
      <w:pPr>
        <w:ind w:left="360" w:hanging="360"/>
      </w:pPr>
    </w:lvl>
    <w:lvl w:ilvl="1" w:tplc="2340C2B8">
      <w:start w:val="1"/>
      <w:numFmt w:val="upp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1C5E6D"/>
    <w:multiLevelType w:val="hybridMultilevel"/>
    <w:tmpl w:val="75E2C614"/>
    <w:lvl w:ilvl="0" w:tplc="DFDA391C">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2486CA8"/>
    <w:multiLevelType w:val="hybridMultilevel"/>
    <w:tmpl w:val="C2F60326"/>
    <w:lvl w:ilvl="0" w:tplc="CEA2C126">
      <w:start w:val="1"/>
      <w:numFmt w:val="decimal"/>
      <w:lvlText w:val="%1."/>
      <w:lvlJc w:val="left"/>
      <w:pPr>
        <w:ind w:left="360" w:hanging="360"/>
      </w:pPr>
      <w:rPr>
        <w:rFonts w:asciiTheme="minorHAnsi" w:eastAsiaTheme="minorHAnsi" w:hAnsiTheme="minorHAnsi" w:cstheme="minorBidi"/>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B33C57"/>
    <w:multiLevelType w:val="hybridMultilevel"/>
    <w:tmpl w:val="172E9C20"/>
    <w:lvl w:ilvl="0" w:tplc="FFFFFFFF">
      <w:start w:val="1"/>
      <w:numFmt w:val="decimal"/>
      <w:lvlText w:val="%1."/>
      <w:lvlJc w:val="left"/>
      <w:pPr>
        <w:ind w:left="360" w:hanging="360"/>
      </w:pPr>
    </w:lvl>
    <w:lvl w:ilvl="1" w:tplc="FFFFFFFF">
      <w:start w:val="1"/>
      <w:numFmt w:val="upperLetter"/>
      <w:lvlText w:val="%2."/>
      <w:lvlJc w:val="left"/>
      <w:pPr>
        <w:ind w:left="1080" w:hanging="360"/>
      </w:pPr>
      <w:rPr>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DB7278C"/>
    <w:multiLevelType w:val="hybridMultilevel"/>
    <w:tmpl w:val="651E9946"/>
    <w:lvl w:ilvl="0" w:tplc="96E419D6">
      <w:start w:val="1"/>
      <w:numFmt w:val="decimal"/>
      <w:lvlText w:val="%1."/>
      <w:lvlJc w:val="left"/>
      <w:pPr>
        <w:ind w:left="720" w:hanging="360"/>
      </w:pPr>
      <w:rPr>
        <w:rFonts w:asciiTheme="minorHAnsi" w:hAnsiTheme="minorHAnsi" w:cstheme="minorHAnsi"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543165">
    <w:abstractNumId w:val="0"/>
  </w:num>
  <w:num w:numId="2" w16cid:durableId="1933657355">
    <w:abstractNumId w:val="7"/>
  </w:num>
  <w:num w:numId="3" w16cid:durableId="68120405">
    <w:abstractNumId w:val="3"/>
  </w:num>
  <w:num w:numId="4" w16cid:durableId="1542093460">
    <w:abstractNumId w:val="2"/>
  </w:num>
  <w:num w:numId="5" w16cid:durableId="1443648006">
    <w:abstractNumId w:val="5"/>
  </w:num>
  <w:num w:numId="6" w16cid:durableId="407920205">
    <w:abstractNumId w:val="6"/>
  </w:num>
  <w:num w:numId="7" w16cid:durableId="515076923">
    <w:abstractNumId w:val="1"/>
  </w:num>
  <w:num w:numId="8" w16cid:durableId="614219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CD"/>
    <w:rsid w:val="00120A61"/>
    <w:rsid w:val="005D6C4B"/>
    <w:rsid w:val="009A298B"/>
    <w:rsid w:val="009E0081"/>
    <w:rsid w:val="00A713A2"/>
    <w:rsid w:val="00C61A1D"/>
    <w:rsid w:val="00C74DDC"/>
    <w:rsid w:val="00E472CD"/>
    <w:rsid w:val="00F32525"/>
    <w:rsid w:val="00FB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BA1D"/>
  <w15:chartTrackingRefBased/>
  <w15:docId w15:val="{D5115124-4C0E-4728-8C03-31EB4B36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CD"/>
    <w:pPr>
      <w:ind w:left="720"/>
      <w:contextualSpacing/>
    </w:pPr>
    <w:rPr>
      <w:rFonts w:eastAsiaTheme="minorHAnsi"/>
      <w:szCs w:val="24"/>
    </w:rPr>
  </w:style>
  <w:style w:type="table" w:styleId="TableGrid">
    <w:name w:val="Table Grid"/>
    <w:basedOn w:val="TableNormal"/>
    <w:uiPriority w:val="39"/>
    <w:rsid w:val="00E4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120A61"/>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Pruitt, Megan</dc:creator>
  <cp:keywords/>
  <dc:description/>
  <cp:lastModifiedBy>Pruitt, Megan</cp:lastModifiedBy>
  <cp:revision>3</cp:revision>
  <dcterms:created xsi:type="dcterms:W3CDTF">2024-02-28T21:02:00Z</dcterms:created>
  <dcterms:modified xsi:type="dcterms:W3CDTF">2024-02-28T21:08:00Z</dcterms:modified>
</cp:coreProperties>
</file>